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0"/>
        <w:shd w:val="clear" w:color="auto" w:fill="auto"/>
        <w:spacing w:lineRule="auto" w:line="240"/>
        <w:ind w:firstLine="567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0"/>
        <w:shd w:val="clear" w:color="auto" w:fill="auto"/>
        <w:spacing w:lineRule="auto" w:line="240"/>
        <w:ind w:firstLine="567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0"/>
        <w:shd w:val="clear" w:color="auto" w:fill="auto"/>
        <w:spacing w:lineRule="auto" w:line="240"/>
        <w:ind w:firstLine="567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0"/>
        <w:shd w:val="clear" w:color="auto" w:fill="auto"/>
        <w:spacing w:lineRule="auto" w:line="240"/>
        <w:ind w:firstLine="567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0"/>
        <w:shd w:val="clear" w:color="auto" w:fill="auto"/>
        <w:spacing w:lineRule="auto" w:line="240"/>
        <w:ind w:firstLine="567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0"/>
        <w:shd w:val="clear" w:color="auto" w:fill="auto"/>
        <w:spacing w:lineRule="auto" w:line="240"/>
        <w:ind w:firstLine="567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highlight w:val="none"/>
          <w:shd w:fill="auto" w:val="clear"/>
        </w:rPr>
      </w:pPr>
      <w:r>
        <w:rPr>
          <w:rFonts w:eastAsia="Calibri"/>
          <w:sz w:val="26"/>
          <w:szCs w:val="26"/>
          <w:shd w:fill="auto" w:val="clear"/>
        </w:rPr>
        <w:t>ОКПД2 19.20.21 Поставка горюче-смазочных материалов для нужд Волжского филиала</w:t>
      </w:r>
    </w:p>
    <w:p>
      <w:pPr>
        <w:pStyle w:val="Normal"/>
        <w:keepNext w:val="true"/>
        <w:keepLines/>
        <w:jc w:val="center"/>
        <w:rPr>
          <w:sz w:val="26"/>
          <w:szCs w:val="26"/>
          <w:highlight w:val="none"/>
          <w:shd w:fill="auto" w:val="clear"/>
        </w:rPr>
      </w:pPr>
      <w:r>
        <w:rPr>
          <w:sz w:val="26"/>
          <w:szCs w:val="26"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sz w:val="26"/>
          <w:szCs w:val="26"/>
          <w:shd w:fill="auto" w:val="clear"/>
        </w:rPr>
        <w:t>лот № 0008-ЭКСП ДОХ-2026-ГРВКК-ВолФ</w:t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75446566"/>
      <w:bookmarkStart w:id="1" w:name="_Toc51339692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75446567"/>
      <w:bookmarkStart w:id="3" w:name="_Toc46743505"/>
      <w:r>
        <w:rPr/>
        <w:t>Обозначения и сокращения</w:t>
      </w:r>
      <w:bookmarkEnd w:id="2"/>
      <w:bookmarkEnd w:id="3"/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i/>
                <w:iCs/>
                <w:sz w:val="24"/>
                <w:szCs w:val="24"/>
              </w:rPr>
              <w:t>АЗС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автозаправочная 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ГСМ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Горюче – смазочные материалы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4" w:name="_Toc75446568"/>
      <w:bookmarkStart w:id="5" w:name="_Toc46743506"/>
      <w:r>
        <w:rPr/>
        <w:t>Наименование закупаемой продукции</w:t>
      </w:r>
      <w:bookmarkEnd w:id="4"/>
      <w:bookmarkEnd w:id="5"/>
      <w:r>
        <w:rPr>
          <w:lang w:val="ru-RU"/>
        </w:rPr>
        <w:t>.</w:t>
      </w:r>
    </w:p>
    <w:p>
      <w:pPr>
        <w:pStyle w:val="Heading2"/>
        <w:numPr>
          <w:ilvl w:val="0"/>
          <w:numId w:val="0"/>
        </w:numPr>
        <w:tabs>
          <w:tab w:val="clear" w:pos="708"/>
          <w:tab w:val="left" w:pos="426" w:leader="none"/>
        </w:tabs>
        <w:spacing w:before="0" w:after="60"/>
        <w:ind w:left="709" w:hanging="0"/>
        <w:jc w:val="both"/>
        <w:rPr>
          <w:rStyle w:val="Style8"/>
          <w:i w:val="false"/>
          <w:i w:val="false"/>
          <w:shd w:fill="auto" w:val="clear"/>
        </w:rPr>
      </w:pPr>
      <w:r>
        <w:rPr>
          <w:b w:val="false"/>
          <w:lang w:val="ru-RU"/>
        </w:rPr>
        <w:t>ОКПД2 19.20.21 Поставка горюче-смазочных материалов для нужд Волжского филиала</w:t>
      </w:r>
      <w:r>
        <w:rPr>
          <w:b w:val="false"/>
        </w:rPr>
        <w:t>.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>
          <w:lang w:val="ru-RU"/>
        </w:rPr>
      </w:pPr>
      <w:bookmarkStart w:id="6" w:name="_Toc75446569"/>
      <w:bookmarkStart w:id="7" w:name="_Toc46743507"/>
      <w:r>
        <w:rPr/>
        <w:t xml:space="preserve">Цель </w:t>
      </w:r>
      <w:bookmarkEnd w:id="7"/>
      <w:r>
        <w:rPr>
          <w:lang w:val="ru-RU"/>
        </w:rPr>
        <w:t xml:space="preserve">использования закупаемой продукции. </w:t>
      </w:r>
      <w:bookmarkEnd w:id="6"/>
    </w:p>
    <w:p>
      <w:pPr>
        <w:pStyle w:val="Normal"/>
        <w:tabs>
          <w:tab w:val="clear" w:pos="708"/>
          <w:tab w:val="left" w:pos="426" w:leader="none"/>
          <w:tab w:val="left" w:pos="1100" w:leader="none"/>
        </w:tabs>
        <w:ind w:left="709" w:hanging="0"/>
        <w:jc w:val="both"/>
        <w:rPr>
          <w:sz w:val="24"/>
          <w:szCs w:val="24"/>
        </w:rPr>
      </w:pPr>
      <w:r>
        <w:rPr/>
        <w:t xml:space="preserve"> </w:t>
      </w:r>
      <w:r>
        <w:rPr>
          <w:sz w:val="24"/>
          <w:szCs w:val="24"/>
        </w:rPr>
        <w:t>Заправка собственного автотранспорта, машин и механизмов Волжского филиала АО «Гидроремонт-ВКК» в г.Волжский.</w:t>
      </w:r>
    </w:p>
    <w:p>
      <w:pPr>
        <w:pStyle w:val="Normal"/>
        <w:tabs>
          <w:tab w:val="clear" w:pos="708"/>
          <w:tab w:val="left" w:pos="426" w:leader="none"/>
          <w:tab w:val="left" w:pos="110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>
          <w:lang w:val="ru-RU"/>
        </w:rPr>
      </w:pPr>
      <w:bookmarkStart w:id="8" w:name="_Toc75446572"/>
      <w:bookmarkStart w:id="9" w:name="_Toc50125126"/>
      <w:bookmarkEnd w:id="9"/>
      <w:r>
        <w:rPr>
          <w:lang w:val="ru-RU"/>
        </w:rPr>
        <w:t xml:space="preserve"> </w:t>
      </w:r>
      <w:bookmarkStart w:id="10" w:name="_Toc46743509"/>
      <w:bookmarkStart w:id="11" w:name="_Hlk49857604"/>
      <w:bookmarkEnd w:id="8"/>
      <w:r>
        <w:rPr/>
        <w:t xml:space="preserve">Информация в отношении исполнения договора, </w:t>
      </w:r>
      <w:bookmarkStart w:id="12" w:name="_Hlk46492347"/>
      <w:r>
        <w:rPr/>
        <w:t xml:space="preserve">которая должна быть учтена при подготовке заявки </w:t>
      </w:r>
      <w:bookmarkEnd w:id="12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End w:id="10"/>
      <w:bookmarkEnd w:id="11"/>
      <w:r>
        <w:rPr>
          <w:lang w:val="ru-RU"/>
        </w:rPr>
        <w:t>.</w:t>
      </w:r>
    </w:p>
    <w:p>
      <w:pPr>
        <w:pStyle w:val="Normal"/>
        <w:rPr>
          <w:sz w:val="24"/>
          <w:szCs w:val="24"/>
          <w:lang w:eastAsia="x-none"/>
        </w:rPr>
      </w:pPr>
      <w:r>
        <w:rPr>
          <w:lang w:eastAsia="x-none"/>
        </w:rPr>
        <w:t xml:space="preserve">       </w:t>
      </w:r>
      <w:r>
        <w:rPr>
          <w:lang w:eastAsia="x-none"/>
        </w:rPr>
        <w:tab/>
      </w:r>
      <w:r>
        <w:rPr>
          <w:sz w:val="24"/>
          <w:szCs w:val="24"/>
          <w:lang w:eastAsia="x-none"/>
        </w:rPr>
        <w:t>См. приложение №1 к ДоЗ «Требования к участнику закупки».</w:t>
      </w:r>
    </w:p>
    <w:p>
      <w:pPr>
        <w:pStyle w:val="ListParagraph"/>
        <w:tabs>
          <w:tab w:val="clear" w:pos="708"/>
          <w:tab w:val="left" w:pos="42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b/>
        </w:rPr>
      </w:pPr>
      <w:r>
        <w:rPr>
          <w:b/>
        </w:rPr>
        <w:t xml:space="preserve">1.5. </w:t>
      </w:r>
      <w:r>
        <w:rPr>
          <w:b/>
          <w:sz w:val="24"/>
          <w:szCs w:val="24"/>
        </w:rPr>
        <w:t>Иные требования и сведения общего характера.</w:t>
      </w:r>
    </w:p>
    <w:p>
      <w:pPr>
        <w:pStyle w:val="Normal"/>
        <w:widowControl w:val="false"/>
        <w:spacing w:before="0" w:after="0"/>
        <w:ind w:left="709" w:hanging="0"/>
        <w:contextualSpacing/>
        <w:jc w:val="both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  <w:t>1.5.1. Стоимость ГСМ, получаемых по Картам на АЗС, не должна превышать стоимость ГСМ, указанную на стеле АЗС в день заправки транспортного средства с учетом итоговой скидки, предложенной в ходе проведения закупки Победителем закупки (Поставщиком).</w:t>
      </w:r>
    </w:p>
    <w:p>
      <w:pPr>
        <w:pStyle w:val="Normal"/>
        <w:widowControl w:val="false"/>
        <w:spacing w:before="0" w:after="0"/>
        <w:ind w:left="709" w:hanging="0"/>
        <w:contextualSpacing/>
        <w:jc w:val="both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  <w:t>1.5.2. Наличие программного обеспечения для проведения полного комплекса операций по отпуску ГСМ с использованием Карт.</w:t>
      </w:r>
    </w:p>
    <w:p>
      <w:pPr>
        <w:pStyle w:val="Normal"/>
        <w:widowControl w:val="false"/>
        <w:spacing w:before="0" w:after="0"/>
        <w:ind w:left="709" w:hanging="0"/>
        <w:contextualSpacing/>
        <w:jc w:val="both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  <w:t>1.5.3. Ежемесячное представление отчета об объеме отпуска ГСМ с детализацией по Картам.</w:t>
      </w:r>
    </w:p>
    <w:p>
      <w:pPr>
        <w:pStyle w:val="Normal"/>
        <w:widowControl w:val="false"/>
        <w:spacing w:before="0" w:after="0"/>
        <w:ind w:left="709" w:hanging="0"/>
        <w:contextualSpacing/>
        <w:jc w:val="both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  <w:t>1.5.4. Предоставление доступа в личный кабинет Пользователя (Покупателя) посредством регистрации на официальном сайте Поставщика в сети Интернет с целью получения информации о состоянии лицевого счета и совершенным операциям по Картам в режиме реального времени.</w:t>
      </w:r>
    </w:p>
    <w:p>
      <w:pPr>
        <w:pStyle w:val="Normal"/>
        <w:widowControl w:val="false"/>
        <w:spacing w:before="0" w:after="0"/>
        <w:ind w:left="709" w:hanging="0"/>
        <w:contextualSpacing/>
        <w:jc w:val="both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  <w:t>1.5.5. Необходимое количество Карт определяется Покупателем самостоятельно, исходя из текущей потребности, и предоставляются Поставщику на основании письменной заявки. Ориентировочная потребность Покупателя в Картах составляет 17 штук.</w:t>
      </w:r>
    </w:p>
    <w:p>
      <w:pPr>
        <w:pStyle w:val="Normal"/>
        <w:widowControl w:val="false"/>
        <w:spacing w:before="0" w:after="0"/>
        <w:ind w:left="709" w:hanging="0"/>
        <w:contextualSpacing/>
        <w:jc w:val="both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  <w:t>1.5.6. Поставщику необходимо обеспечить возможность удаленного блокирования Карт как через сервис поддержки Поставщика, так и через личный кабинет Пользователя.</w:t>
      </w:r>
    </w:p>
    <w:p>
      <w:pPr>
        <w:pStyle w:val="Normal"/>
        <w:tabs>
          <w:tab w:val="clear" w:pos="708"/>
          <w:tab w:val="left" w:pos="426" w:leader="none"/>
        </w:tabs>
        <w:ind w:left="709" w:hanging="0"/>
        <w:jc w:val="both"/>
        <w:rPr>
          <w:sz w:val="24"/>
          <w:szCs w:val="24"/>
        </w:rPr>
      </w:pPr>
      <w:r>
        <w:rPr/>
        <w:t>1.5.7</w:t>
      </w:r>
      <w:r>
        <w:rPr>
          <w:sz w:val="24"/>
          <w:szCs w:val="24"/>
        </w:rPr>
        <w:t>. Продукция должна отпускаться Заказчику согласно условиям договора.</w:t>
      </w:r>
    </w:p>
    <w:p>
      <w:pPr>
        <w:pStyle w:val="Standard"/>
        <w:tabs>
          <w:tab w:val="clear" w:pos="708"/>
          <w:tab w:val="left" w:pos="851" w:leader="none"/>
        </w:tabs>
        <w:ind w:left="709" w:hanging="0"/>
        <w:jc w:val="both"/>
        <w:rPr>
          <w:rFonts w:cs="Times New Roman"/>
        </w:rPr>
      </w:pPr>
      <w:r>
        <w:rPr>
          <w:rFonts w:cs="Times New Roman"/>
        </w:rPr>
        <w:t>1.5.8. Получение продукции Заказчиком производится на АЗС Поставщика через топливно-раздаточные колонки путем налива в бак автомобиля, подаваемого Заказчиком, либо его доверенным лицом. В аналогичном порядке, отпуск продукции может производиться в тару Заказчика, разрешенную к использованию на АЗС.</w:t>
      </w:r>
    </w:p>
    <w:p>
      <w:pPr>
        <w:pStyle w:val="Standard"/>
        <w:tabs>
          <w:tab w:val="clear" w:pos="708"/>
          <w:tab w:val="left" w:pos="851" w:leader="none"/>
        </w:tabs>
        <w:ind w:left="709" w:hanging="0"/>
        <w:jc w:val="both"/>
        <w:rPr>
          <w:rStyle w:val="Style8"/>
          <w:rFonts w:cs="Times New Roman"/>
          <w:b w:val="false"/>
          <w:i w:val="false"/>
          <w:i w:val="false"/>
          <w:shd w:fill="auto" w:val="clear"/>
        </w:rPr>
      </w:pPr>
      <w:r>
        <w:rPr>
          <w:rFonts w:cs="Times New Roman"/>
          <w:b w:val="false"/>
          <w:i w:val="false"/>
          <w:shd w:fill="auto" w:val="clear"/>
        </w:rPr>
      </w:r>
    </w:p>
    <w:p>
      <w:pPr>
        <w:pStyle w:val="Heading1"/>
        <w:keepLines/>
        <w:numPr>
          <w:ilvl w:val="0"/>
          <w:numId w:val="3"/>
        </w:numPr>
        <w:ind w:left="357" w:hanging="357"/>
        <w:rPr>
          <w:iCs/>
          <w:caps/>
          <w:lang w:val="ru-RU"/>
        </w:rPr>
      </w:pPr>
      <w:bookmarkStart w:id="13" w:name="_Toc51339693"/>
      <w:bookmarkStart w:id="14" w:name="_Toc75446573"/>
      <w:r>
        <w:rPr>
          <w:iCs/>
        </w:rPr>
        <w:t>Требования к продукции</w:t>
      </w:r>
      <w:bookmarkEnd w:id="13"/>
      <w:bookmarkEnd w:id="14"/>
    </w:p>
    <w:p>
      <w:pPr>
        <w:pStyle w:val="Heading4"/>
        <w:numPr>
          <w:ilvl w:val="1"/>
          <w:numId w:val="3"/>
        </w:numPr>
        <w:rPr/>
      </w:pPr>
      <w:bookmarkStart w:id="15" w:name="_Toc75446574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5"/>
    </w:p>
    <w:p>
      <w:pPr>
        <w:pStyle w:val="Heading3"/>
        <w:numPr>
          <w:ilvl w:val="2"/>
          <w:numId w:val="3"/>
        </w:numPr>
        <w:rPr/>
      </w:pPr>
      <w:bookmarkStart w:id="16" w:name="_Toc75446575"/>
      <w:r>
        <w:rPr>
          <w:lang w:val="ru-RU"/>
        </w:rPr>
        <w:t>Перечень и объем закупаемой продукции</w:t>
      </w:r>
      <w:bookmarkEnd w:id="16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17" w:name="_Toc75446576"/>
      <w:bookmarkStart w:id="18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8"/>
      <w:r>
        <w:rPr>
          <w:sz w:val="24"/>
          <w:szCs w:val="24"/>
          <w:lang w:val="ru-RU"/>
        </w:rPr>
        <w:t>и объем закупаемой продукции</w:t>
      </w:r>
      <w:bookmarkEnd w:id="17"/>
    </w:p>
    <w:tbl>
      <w:tblPr>
        <w:tblW w:w="9915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35"/>
        <w:gridCol w:w="6149"/>
        <w:gridCol w:w="1414"/>
        <w:gridCol w:w="1516"/>
      </w:tblGrid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/>
            </w:pPr>
            <w:r>
              <w:rPr/>
            </w:r>
          </w:p>
        </w:tc>
        <w:tc>
          <w:tcPr>
            <w:tcW w:w="6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Бензин АИ-92 </w:t>
            </w:r>
            <w:r>
              <w:rPr>
                <w:rFonts w:cs="font231"/>
                <w:sz w:val="24"/>
                <w:szCs w:val="24"/>
              </w:rPr>
              <w:t>ГОСТ 32513-2013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литр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/>
            </w:pPr>
            <w:r>
              <w:rPr/>
            </w:r>
          </w:p>
        </w:tc>
        <w:tc>
          <w:tcPr>
            <w:tcW w:w="6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Бензин АИ-95 </w:t>
            </w:r>
            <w:r>
              <w:rPr>
                <w:rFonts w:cs="font231"/>
                <w:sz w:val="24"/>
                <w:szCs w:val="24"/>
              </w:rPr>
              <w:t>ГОСТ 32513-2013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литр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00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/>
            </w:pPr>
            <w:r>
              <w:rPr/>
            </w:r>
          </w:p>
        </w:tc>
        <w:tc>
          <w:tcPr>
            <w:tcW w:w="6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Дизельное топливо </w:t>
            </w:r>
            <w:r>
              <w:rPr>
                <w:rFonts w:cs="font231"/>
                <w:sz w:val="24"/>
                <w:szCs w:val="24"/>
              </w:rPr>
              <w:t>ГОСТ 32511-2013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литр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0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/>
            </w:pPr>
            <w:r>
              <w:rPr/>
            </w:r>
          </w:p>
        </w:tc>
        <w:tc>
          <w:tcPr>
            <w:tcW w:w="6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Топливная карта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  <w:bookmarkStart w:id="19" w:name="_GoBack"/>
      <w:bookmarkStart w:id="20" w:name="_GoBack"/>
      <w:bookmarkEnd w:id="20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21" w:name="_Toc75446578"/>
      <w:bookmarkStart w:id="22" w:name="_Toc51339696"/>
      <w:r>
        <w:rPr>
          <w:lang w:val="ru-RU"/>
        </w:rPr>
        <w:t xml:space="preserve">Требования </w:t>
      </w:r>
      <w:bookmarkEnd w:id="22"/>
      <w:r>
        <w:rPr>
          <w:lang w:val="ru-RU"/>
        </w:rPr>
        <w:t>к срокам поставки продукции и оказания сопутствующих услуг</w:t>
      </w:r>
      <w:bookmarkEnd w:id="21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3" w:name="_Toc75446579"/>
      <w:bookmarkStart w:id="24" w:name="_Toc50125127"/>
      <w:bookmarkStart w:id="25" w:name="_Toc51339697"/>
      <w:bookmarkStart w:id="26" w:name="_Toc50125126_Копия_1"/>
      <w:bookmarkEnd w:id="2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bookmarkEnd w:id="25"/>
      <w:bookmarkEnd w:id="27"/>
      <w:r>
        <w:rPr>
          <w:sz w:val="24"/>
          <w:szCs w:val="24"/>
          <w:lang w:val="ru-RU"/>
        </w:rPr>
        <w:t>поставки продукции</w:t>
      </w:r>
      <w:bookmarkEnd w:id="23"/>
      <w:r>
        <w:rPr>
          <w:sz w:val="24"/>
          <w:szCs w:val="24"/>
          <w:lang w:val="ru-RU"/>
        </w:rPr>
        <w:t xml:space="preserve"> </w:t>
      </w:r>
    </w:p>
    <w:tbl>
      <w:tblPr>
        <w:tblW w:w="977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24"/>
        <w:gridCol w:w="2552"/>
        <w:gridCol w:w="2984"/>
        <w:gridCol w:w="3113"/>
      </w:tblGrid>
      <w:tr>
        <w:trPr/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bookmarkStart w:id="28" w:name="_Toc46743510"/>
            <w:r>
              <w:rPr>
                <w:b/>
                <w:sz w:val="24"/>
                <w:szCs w:val="24"/>
              </w:rPr>
              <w:t>4</w:t>
            </w:r>
            <w:bookmarkEnd w:id="28"/>
          </w:p>
        </w:tc>
      </w:tr>
      <w:tr>
        <w:trPr/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/>
            </w:pPr>
            <w:r>
              <w:rP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 АИ-92</w:t>
            </w:r>
          </w:p>
        </w:tc>
        <w:tc>
          <w:tcPr>
            <w:tcW w:w="2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 сторонами</w:t>
            </w: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30.06.2026 г., с даты подписания договора</w:t>
            </w:r>
          </w:p>
        </w:tc>
      </w:tr>
      <w:tr>
        <w:trPr/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/>
            </w:pPr>
            <w:r>
              <w:rP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 АИ-95</w:t>
            </w:r>
          </w:p>
        </w:tc>
        <w:tc>
          <w:tcPr>
            <w:tcW w:w="2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Дизельное топливо</w:t>
            </w:r>
          </w:p>
        </w:tc>
        <w:tc>
          <w:tcPr>
            <w:tcW w:w="2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Топливная карта</w:t>
            </w:r>
          </w:p>
        </w:tc>
        <w:tc>
          <w:tcPr>
            <w:tcW w:w="2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istParagraph"/>
        <w:tabs>
          <w:tab w:val="clear" w:pos="708"/>
          <w:tab w:val="left" w:pos="426" w:leader="none"/>
        </w:tabs>
        <w:jc w:val="both"/>
        <w:rPr/>
      </w:pPr>
      <w:r>
        <w:rPr/>
      </w:r>
    </w:p>
    <w:p>
      <w:pPr>
        <w:pStyle w:val="Heading3"/>
        <w:numPr>
          <w:ilvl w:val="2"/>
          <w:numId w:val="3"/>
        </w:numPr>
        <w:rPr>
          <w:b w:val="false"/>
        </w:rPr>
      </w:pPr>
      <w:r>
        <w:rPr>
          <w:rFonts w:eastAsia="Times New Roman"/>
          <w:b w:val="false"/>
          <w:bCs/>
          <w:kern w:val="2"/>
        </w:rPr>
        <w:t xml:space="preserve">Обеспечение ГСМ транспортных средств Покупателя должно осуществляться ежедневно, в круглосуточном режиме, включая выходные и праздничные дни, на период действия договора, на стационарных автозаправочных станциях (далее – </w:t>
      </w:r>
      <w:r>
        <w:rPr>
          <w:b w:val="false"/>
          <w:bCs/>
          <w:kern w:val="2"/>
        </w:rPr>
        <w:t>АЗС)</w:t>
      </w:r>
      <w:r>
        <w:rPr>
          <w:rFonts w:eastAsia="Times New Roman"/>
          <w:b w:val="false"/>
          <w:bCs/>
          <w:kern w:val="2"/>
        </w:rPr>
        <w:t>.</w:t>
      </w:r>
    </w:p>
    <w:p>
      <w:pPr>
        <w:pStyle w:val="Heading4"/>
        <w:numPr>
          <w:ilvl w:val="1"/>
          <w:numId w:val="3"/>
        </w:numPr>
        <w:rPr>
          <w:lang w:val="ru-RU"/>
        </w:rPr>
      </w:pPr>
      <w:bookmarkStart w:id="29" w:name="_Toc51339698"/>
      <w:bookmarkStart w:id="30" w:name="_Toc75446581"/>
      <w:bookmarkStart w:id="31" w:name="_Toc46743511"/>
      <w:r>
        <w:rPr/>
        <w:t xml:space="preserve">Требования к </w:t>
      </w:r>
      <w:bookmarkEnd w:id="31"/>
      <w:r>
        <w:rPr>
          <w:lang w:val="ru-RU"/>
        </w:rPr>
        <w:t>качеству продукции</w:t>
      </w:r>
      <w:bookmarkEnd w:id="30"/>
    </w:p>
    <w:p>
      <w:pPr>
        <w:pStyle w:val="Normal"/>
        <w:widowControl w:val="false"/>
        <w:spacing w:before="0" w:after="0"/>
        <w:ind w:left="709" w:hanging="0"/>
        <w:contextualSpacing/>
        <w:jc w:val="both"/>
        <w:rPr>
          <w:bCs/>
          <w:kern w:val="2"/>
          <w:sz w:val="24"/>
          <w:szCs w:val="24"/>
        </w:rPr>
      </w:pPr>
      <w:r>
        <w:rPr>
          <w:sz w:val="24"/>
          <w:szCs w:val="24"/>
        </w:rPr>
        <w:t xml:space="preserve">2.2.1.Продукция должна соответствовать требованиям ГОСТ 32513-2013 и </w:t>
      </w:r>
      <w:r>
        <w:rPr>
          <w:bCs/>
          <w:color w:val="000000"/>
          <w:sz w:val="24"/>
          <w:szCs w:val="24"/>
        </w:rPr>
        <w:t xml:space="preserve">Техническому регламенту таможенного союза ТР ТС 013/2011 </w:t>
      </w:r>
      <w:r>
        <w:rPr>
          <w:bCs/>
          <w:kern w:val="2"/>
          <w:sz w:val="24"/>
          <w:szCs w:val="24"/>
        </w:rPr>
        <w:t xml:space="preserve">«О требованиях к автомобильному и авиационному бензину, дизельному и судовому топливу, топливу для реактивных двигателей и мазуту» (Решение Комиссии Таможенного союза от 18.10.2011г. №826). </w:t>
      </w:r>
    </w:p>
    <w:p>
      <w:pPr>
        <w:pStyle w:val="Normal"/>
        <w:widowControl w:val="false"/>
        <w:spacing w:before="0" w:after="0"/>
        <w:contextualSpacing/>
        <w:jc w:val="both"/>
        <w:rPr>
          <w:bCs/>
          <w:kern w:val="2"/>
          <w:sz w:val="24"/>
          <w:szCs w:val="24"/>
        </w:rPr>
      </w:pPr>
      <w:r>
        <w:rPr>
          <w:bCs/>
          <w:kern w:val="2"/>
          <w:sz w:val="24"/>
          <w:szCs w:val="24"/>
        </w:rPr>
      </w:r>
    </w:p>
    <w:p>
      <w:pPr>
        <w:pStyle w:val="ListParagraph"/>
        <w:tabs>
          <w:tab w:val="clear" w:pos="708"/>
          <w:tab w:val="left" w:pos="426" w:leader="none"/>
        </w:tabs>
        <w:jc w:val="both"/>
        <w:rPr/>
      </w:pPr>
      <w:r>
        <w:rPr/>
        <w:t>2.2.2. Поставщик должен предоставить по требованию Покупателя, копии сертификатов соответствия, подтверждающих соответствие предлагаемой продукции обязательным требованиям нормативных документов, действующих в РФ.</w:t>
      </w:r>
    </w:p>
    <w:p>
      <w:pPr>
        <w:pStyle w:val="ListParagraph"/>
        <w:tabs>
          <w:tab w:val="clear" w:pos="708"/>
          <w:tab w:val="left" w:pos="426" w:leader="none"/>
        </w:tabs>
        <w:jc w:val="both"/>
        <w:rPr/>
      </w:pPr>
      <w:r>
        <w:rPr/>
        <w:t>2.2.3. В случаях поставки ГСМ с отступлениями от условий, указанных в настоящих технических требованиях, ухудшившими результат обеспечения ГСМ, или с иными недостатками, которые делают ГСМ непригодными для предусмотренного в Договоре использования, Покупатель вправе потребовать от Поставщика безвозмездного устранения недостатков. Предоставление некачественных ГСМ приравнивается к их не предоставлению.</w:t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851" w:right="851" w:gutter="0" w:header="680" w:top="737" w:footer="0" w:bottom="992"/>
          <w:pgNumType w:fmt="decimal"/>
          <w:formProt w:val="false"/>
          <w:titlePg/>
          <w:textDirection w:val="lrTb"/>
          <w:docGrid w:type="default" w:linePitch="381" w:charSpace="0"/>
        </w:sectPr>
        <w:pStyle w:val="ListParagraph"/>
        <w:tabs>
          <w:tab w:val="clear" w:pos="708"/>
          <w:tab w:val="left" w:pos="426" w:leader="none"/>
        </w:tabs>
        <w:jc w:val="both"/>
        <w:rPr/>
      </w:pPr>
      <w:r>
        <w:rPr/>
        <w:t>2.2.4. Покупатель вправе требовать от Поставщика возмещение стоимости некачественных ГСМ и возмещение реального ущерба, понесенного Покупателем, в связи с предоставленными Покупателю некачественными ГСМ.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32" w:name="_Toc7544658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29"/>
      <w:bookmarkEnd w:id="32"/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jc w:val="both"/>
        <w:rPr>
          <w:i/>
          <w:i/>
          <w:iCs/>
          <w:sz w:val="24"/>
          <w:szCs w:val="24"/>
          <w:shd w:fill="FFFF99" w:val="clear"/>
        </w:rPr>
      </w:pPr>
      <w:r>
        <w:rPr>
          <w:b/>
          <w:bCs/>
          <w:i/>
          <w:iCs/>
          <w:sz w:val="24"/>
          <w:szCs w:val="24"/>
        </w:rPr>
        <w:t>Наименование продукции: Бензин АИ-92</w:t>
      </w:r>
      <w:r>
        <w:rPr>
          <w:b/>
          <w:bCs/>
          <w:sz w:val="24"/>
          <w:szCs w:val="24"/>
        </w:rPr>
        <w:t xml:space="preserve"> </w:t>
      </w:r>
    </w:p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tbl>
      <w:tblPr>
        <w:tblStyle w:val="af"/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0"/>
        <w:gridCol w:w="5609"/>
        <w:gridCol w:w="3526"/>
        <w:gridCol w:w="3120"/>
        <w:gridCol w:w="2184"/>
      </w:tblGrid>
      <w:tr>
        <w:trPr/>
        <w:tc>
          <w:tcPr>
            <w:tcW w:w="84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56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5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30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4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6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2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1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6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1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353" w:hanging="3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1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31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8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Октановое число моторный метод, не менее</w:t>
            </w:r>
          </w:p>
        </w:tc>
        <w:tc>
          <w:tcPr>
            <w:tcW w:w="352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82,5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Октановое число, не менее: исследовательский метод</w:t>
            </w:r>
          </w:p>
        </w:tc>
        <w:tc>
          <w:tcPr>
            <w:tcW w:w="352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91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1.3.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Содержание свинца, г/дм3,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0,010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1.4.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Содержание марганца, мг/дм3,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1.5.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Содержание фактических смол, мг /100 см3,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5,0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1.6.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Индукционный период бензина, мин, не менее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360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1.7.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Массовая доля серы, %,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0,05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1.8.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Плотность при 15 °С, кг/м3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725-780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1.9.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Испытание на медной пластине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Выдерживает, класс 1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1.10.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333333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Серия, ГОСТ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(ГОСТ Р 51105-97)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353" w:hanging="3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1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</w:t>
            </w:r>
          </w:p>
        </w:tc>
        <w:tc>
          <w:tcPr>
            <w:tcW w:w="3526" w:type="dxa"/>
            <w:tcBorders>
              <w:top w:val="outset" w:sz="6" w:space="0" w:color="000000"/>
              <w:bottom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 шт.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Наименование продукции: Бензин АИ-95</w:t>
      </w:r>
      <w:r>
        <w:rPr>
          <w:b/>
          <w:bCs/>
          <w:sz w:val="24"/>
          <w:szCs w:val="24"/>
        </w:rPr>
        <w:t xml:space="preserve"> 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tbl>
      <w:tblPr>
        <w:tblStyle w:val="af"/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0"/>
        <w:gridCol w:w="5609"/>
        <w:gridCol w:w="3526"/>
        <w:gridCol w:w="3120"/>
        <w:gridCol w:w="2184"/>
      </w:tblGrid>
      <w:tr>
        <w:trPr/>
        <w:tc>
          <w:tcPr>
            <w:tcW w:w="84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56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5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30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4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6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2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1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6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1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1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31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Октановое число моторный метод, не менее</w:t>
            </w:r>
          </w:p>
        </w:tc>
        <w:tc>
          <w:tcPr>
            <w:tcW w:w="352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85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Октановое число, не менее: исследовательский метод</w:t>
            </w:r>
          </w:p>
        </w:tc>
        <w:tc>
          <w:tcPr>
            <w:tcW w:w="352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95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1.3.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Содержание свинца, г/дм3,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0,010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1.4.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Содержание марганца, мг/дм3,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отсутствует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1.5.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Содержание фактических смол, мг /100 см3,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5,0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1.6.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Индукционный период бензина, мин, не менее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360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1.7.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Массовая доля серы, %,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0,05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1.8.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Плотность при 15 °С, кг/м3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725-780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1.9.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Испытание на медной пластине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Выдерживает, класс 1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1.10.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333333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Серия, ГОСТ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(ГОСТ Р 51866-2002 (ЕН 228-2004)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91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2.1.</w:t>
            </w:r>
          </w:p>
        </w:tc>
        <w:tc>
          <w:tcPr>
            <w:tcW w:w="56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</w:t>
            </w:r>
          </w:p>
        </w:tc>
        <w:tc>
          <w:tcPr>
            <w:tcW w:w="3526" w:type="dxa"/>
            <w:tcBorders>
              <w:top w:val="outset" w:sz="6" w:space="0" w:color="000000"/>
              <w:bottom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 шт.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Normal"/>
        <w:jc w:val="both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Наименование продукции: Дизельное топливо</w:t>
      </w:r>
      <w:r>
        <w:rPr>
          <w:b/>
          <w:bCs/>
          <w:sz w:val="24"/>
          <w:szCs w:val="24"/>
        </w:rPr>
        <w:t xml:space="preserve"> 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tbl>
      <w:tblPr>
        <w:tblStyle w:val="af"/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0"/>
        <w:gridCol w:w="5609"/>
        <w:gridCol w:w="3526"/>
        <w:gridCol w:w="3120"/>
        <w:gridCol w:w="2184"/>
      </w:tblGrid>
      <w:tr>
        <w:trPr/>
        <w:tc>
          <w:tcPr>
            <w:tcW w:w="84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56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5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30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4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6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2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1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6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1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1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31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0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1"/>
                <w:shd w:fill="FFFFFF" w:val="clear"/>
                <w:lang w:val="ru-RU" w:eastAsia="ru-RU" w:bidi="ar-SA"/>
              </w:rPr>
              <w:t>Цетановое число, не менее</w:t>
            </w:r>
          </w:p>
        </w:tc>
        <w:tc>
          <w:tcPr>
            <w:tcW w:w="352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51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0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60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1"/>
                <w:shd w:fill="FFFFFF" w:val="clear"/>
                <w:lang w:val="ru-RU" w:eastAsia="ru-RU" w:bidi="ar-SA"/>
              </w:rPr>
              <w:t>Цетановый индекс, не менее</w:t>
            </w:r>
          </w:p>
        </w:tc>
        <w:tc>
          <w:tcPr>
            <w:tcW w:w="352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46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1.3.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1"/>
                <w:shd w:fill="FFFFFF" w:val="clear"/>
                <w:lang w:val="ru-RU" w:eastAsia="ru-RU" w:bidi="ar-SA"/>
              </w:rPr>
              <w:t>Плотность при 15 °С, кг/м³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820-845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1.4.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1"/>
                <w:shd w:fill="FFFFFF" w:val="clear"/>
                <w:lang w:val="ru-RU" w:eastAsia="ru-RU" w:bidi="ar-SA"/>
              </w:rPr>
              <w:t>Содержание серы, мг/кг, не более, для топлива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1.5.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1"/>
                <w:shd w:fill="FFFFFF" w:val="clear"/>
                <w:lang w:val="ru-RU" w:eastAsia="ru-RU" w:bidi="ar-SA"/>
              </w:rPr>
              <w:t>Температура вспышки в закрытом тигле,  °С, выше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55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1.6.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1"/>
                <w:shd w:fill="FFFFFF" w:val="clear"/>
                <w:lang w:val="ru-RU" w:eastAsia="ru-RU" w:bidi="ar-SA"/>
              </w:rPr>
              <w:t>Смазывающая способность: скорректированный диаметр пятна износа при 60 °С, мкм,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460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1.7.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1"/>
                <w:shd w:fill="FFFFFF" w:val="clear"/>
                <w:lang w:val="ru-RU" w:eastAsia="ru-RU" w:bidi="ar-SA"/>
              </w:rPr>
              <w:t>Содержание воды, мг/кг, не более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1.8.</w:t>
            </w:r>
          </w:p>
        </w:tc>
        <w:tc>
          <w:tcPr>
            <w:tcW w:w="560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333333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Серия, ГОСТ</w:t>
            </w:r>
          </w:p>
        </w:tc>
        <w:tc>
          <w:tcPr>
            <w:tcW w:w="352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(ГОСТ 32511-2013)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60" w:after="60"/>
              <w:contextualSpacing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91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0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2.1.</w:t>
            </w:r>
          </w:p>
        </w:tc>
        <w:tc>
          <w:tcPr>
            <w:tcW w:w="56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</w:t>
            </w:r>
          </w:p>
        </w:tc>
        <w:tc>
          <w:tcPr>
            <w:tcW w:w="3526" w:type="dxa"/>
            <w:tcBorders>
              <w:top w:val="outset" w:sz="6" w:space="0" w:color="000000"/>
              <w:bottom w:val="outset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 шт.</w:t>
            </w:r>
          </w:p>
        </w:tc>
        <w:tc>
          <w:tcPr>
            <w:tcW w:w="31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33" w:name="_Toc75446583"/>
      <w:bookmarkStart w:id="34" w:name="_Toc53393312"/>
      <w:bookmarkStart w:id="35" w:name="_Toc46743519"/>
      <w:bookmarkStart w:id="36" w:name="_Toc51339699"/>
      <w:bookmarkEnd w:id="35"/>
      <w:bookmarkEnd w:id="36"/>
      <w:r>
        <w:rPr>
          <w:lang w:val="ru-RU"/>
        </w:rPr>
        <w:t>Требования к документации по ценообразованию</w:t>
      </w:r>
      <w:bookmarkEnd w:id="34"/>
      <w:r>
        <w:rPr>
          <w:lang w:val="ru-RU"/>
        </w:rPr>
        <w:t xml:space="preserve"> на этапе закупки</w:t>
      </w:r>
      <w:bookmarkEnd w:id="33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3.1. Плановая потребность Покупателя в ГСМ, указана в Таблице 1.1.  настоящих технических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требованиях.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3.2. Плановая потребность Покупателя в Картах указана в п.1.5.5.  настоящих технических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требований.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3.3. Участник в составе заявки должен представить информацию о: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3.3.1 Размере скидки на 1 (один) литр топлива в % (процентах), исходя из плановой потребности Покупателя в ГСМ, указанной в Таблице 1.1.  настоящих технических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требованиях.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3.4. Указанная в п.п.3.3.1.  информация должна быть представлена по форме Приложения № 1 к настоящим ТТ.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3.5. При условии соответствия заявок Участников требованиям Документации о закупке, выбор Победителя будет осуществляться по: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- максимальному размеру скидки на 1 (один) литр топлива, (%);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предоставленной в заявке Участника, с учетом оценочных критериев, указанных в Документации о закупке.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3.6. Предельная цена Договора, заключаемого в результате закупочной процедуры будет соответствовать цене лота, указанной в Извещении о проведении закупки, и не может быть увеличена в ходе закупочной процедуры и/или исполнения Договора.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3.7. Заявленная Победителем закупочной процедуры (Участником) итоговая скидка на 1 (один) литр топлива (%) будет применяться ко всем получаемым Покупателем ГСМ по Картам на АЗС Поставщика в течение действия Договора.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37" w:name="_Toc75446585"/>
      <w:r>
        <w:rPr>
          <w:iCs/>
        </w:rPr>
        <w:t>Приложения</w:t>
      </w:r>
      <w:bookmarkEnd w:id="37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ТТ – Форма предоставления информации о размере скидки на 1 (один) литр топлива.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6237" w:right="60" w:firstLine="683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238" w:hanging="0"/>
        <w:jc w:val="center"/>
        <w:rPr>
          <w:b/>
          <w:bCs/>
          <w:spacing w:val="10"/>
          <w:sz w:val="24"/>
          <w:szCs w:val="24"/>
        </w:rPr>
      </w:pPr>
      <w:bookmarkStart w:id="38" w:name="bookmark8"/>
      <w:bookmarkEnd w:id="38"/>
      <w:r>
        <w:rPr>
          <w:b/>
          <w:bCs/>
          <w:spacing w:val="10"/>
          <w:sz w:val="24"/>
          <w:szCs w:val="24"/>
        </w:rPr>
        <w:t xml:space="preserve">Форма предоставления информации о размере скидки на 1 (один) литр топлива. </w:t>
      </w:r>
    </w:p>
    <w:p>
      <w:pPr>
        <w:pStyle w:val="Normal"/>
        <w:ind w:right="238" w:hanging="0"/>
        <w:jc w:val="center"/>
        <w:rPr>
          <w:b/>
          <w:bCs/>
          <w:spacing w:val="10"/>
          <w:sz w:val="24"/>
          <w:szCs w:val="24"/>
        </w:rPr>
      </w:pPr>
      <w:r>
        <w:rPr>
          <w:b/>
          <w:bCs/>
          <w:spacing w:val="10"/>
          <w:sz w:val="24"/>
          <w:szCs w:val="24"/>
        </w:rPr>
      </w:r>
    </w:p>
    <w:p>
      <w:pPr>
        <w:pStyle w:val="Normal"/>
        <w:ind w:right="238" w:hanging="0"/>
        <w:jc w:val="center"/>
        <w:rPr>
          <w:b/>
          <w:bCs/>
          <w:spacing w:val="10"/>
          <w:sz w:val="24"/>
          <w:szCs w:val="24"/>
        </w:rPr>
      </w:pPr>
      <w:r>
        <w:rPr>
          <w:b/>
          <w:bCs/>
          <w:spacing w:val="10"/>
          <w:sz w:val="24"/>
          <w:szCs w:val="24"/>
        </w:rPr>
      </w:r>
      <w:bookmarkStart w:id="39" w:name="bookmark8_Копия_1"/>
      <w:bookmarkStart w:id="40" w:name="bookmark8_Копия_1"/>
      <w:bookmarkEnd w:id="40"/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1.1. Размер скидки на 1 (один) литр топлива, (%).</w:t>
      </w:r>
    </w:p>
    <w:tbl>
      <w:tblPr>
        <w:tblW w:w="92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49"/>
        <w:gridCol w:w="2802"/>
        <w:gridCol w:w="1985"/>
        <w:gridCol w:w="2977"/>
      </w:tblGrid>
      <w:tr>
        <w:trPr>
          <w:trHeight w:val="700" w:hRule="atLeast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ИТОГО общий объем ГСМ, 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Итоговый размер скидки на 1 (один) л. ГСМ*</w:t>
            </w:r>
            <w:r>
              <w:rPr>
                <w:rStyle w:val="FootnoteReference"/>
                <w:sz w:val="18"/>
                <w:szCs w:val="18"/>
              </w:rPr>
              <w:footnoteReference w:id="2"/>
            </w:r>
          </w:p>
        </w:tc>
      </w:tr>
      <w:tr>
        <w:trPr>
          <w:trHeight w:val="25" w:hRule="atLeast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pacing w:val="-5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АИ 92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" w:hRule="atLeast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pacing w:val="-5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АИ 95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" w:hRule="atLeast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pacing w:val="-5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ДТ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tabs>
          <w:tab w:val="clear" w:pos="708"/>
          <w:tab w:val="left" w:pos="6355" w:leader="none"/>
        </w:tabs>
        <w:ind w:right="238" w:hanging="0"/>
        <w:rPr>
          <w:bCs/>
          <w:spacing w:val="10"/>
          <w:sz w:val="24"/>
          <w:szCs w:val="24"/>
        </w:rPr>
      </w:pPr>
      <w:r>
        <w:rPr>
          <w:bCs/>
          <w:spacing w:val="10"/>
          <w:sz w:val="24"/>
          <w:szCs w:val="24"/>
        </w:rPr>
        <w:t>* – итоговый размер скидки (числовое значение) округляется до сотых (два знака после запятой). Возможное значение от «0» и выше.</w:t>
      </w:r>
    </w:p>
    <w:p>
      <w:pPr>
        <w:pStyle w:val="Normal"/>
        <w:tabs>
          <w:tab w:val="clear" w:pos="708"/>
          <w:tab w:val="left" w:pos="6355" w:leader="none"/>
        </w:tabs>
        <w:ind w:right="238" w:hanging="0"/>
        <w:rPr>
          <w:bCs/>
          <w:spacing w:val="10"/>
          <w:sz w:val="24"/>
          <w:szCs w:val="24"/>
        </w:rPr>
      </w:pPr>
      <w:r>
        <w:rPr>
          <w:bCs/>
          <w:spacing w:val="10"/>
          <w:sz w:val="24"/>
          <w:szCs w:val="24"/>
        </w:rPr>
      </w:r>
    </w:p>
    <w:p>
      <w:pPr>
        <w:pStyle w:val="Normal"/>
        <w:tabs>
          <w:tab w:val="clear" w:pos="708"/>
          <w:tab w:val="left" w:pos="6355" w:leader="none"/>
        </w:tabs>
        <w:ind w:right="238" w:hanging="0"/>
        <w:rPr>
          <w:bCs/>
          <w:spacing w:val="10"/>
          <w:sz w:val="24"/>
          <w:szCs w:val="24"/>
        </w:rPr>
      </w:pPr>
      <w:r>
        <w:rPr>
          <w:bCs/>
          <w:spacing w:val="10"/>
          <w:sz w:val="24"/>
          <w:szCs w:val="24"/>
        </w:rPr>
      </w:r>
    </w:p>
    <w:p>
      <w:pPr>
        <w:pStyle w:val="Normal"/>
        <w:tabs>
          <w:tab w:val="clear" w:pos="708"/>
          <w:tab w:val="left" w:pos="6355" w:leader="none"/>
        </w:tabs>
        <w:ind w:right="238" w:hanging="0"/>
        <w:rPr>
          <w:bCs/>
          <w:spacing w:val="10"/>
          <w:sz w:val="24"/>
          <w:szCs w:val="24"/>
        </w:rPr>
      </w:pPr>
      <w:r>
        <w:rPr>
          <w:bCs/>
          <w:spacing w:val="10"/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8"/>
        <w:rPr>
          <w:bCs/>
          <w:spacing w:val="10"/>
          <w:sz w:val="24"/>
          <w:szCs w:val="24"/>
        </w:rPr>
      </w:pPr>
      <w:r>
        <w:rPr>
          <w:bCs/>
          <w:spacing w:val="10"/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8"/>
        <w:rPr>
          <w:bCs/>
          <w:spacing w:val="10"/>
          <w:sz w:val="24"/>
          <w:szCs w:val="24"/>
        </w:rPr>
      </w:pPr>
      <w:r>
        <w:rPr>
          <w:bCs/>
          <w:spacing w:val="10"/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8"/>
        <w:rPr>
          <w:bCs/>
          <w:spacing w:val="10"/>
          <w:sz w:val="24"/>
          <w:szCs w:val="24"/>
        </w:rPr>
      </w:pPr>
      <w:r>
        <w:rPr>
          <w:bCs/>
          <w:spacing w:val="10"/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8"/>
        <w:rPr>
          <w:bCs/>
          <w:spacing w:val="10"/>
          <w:sz w:val="24"/>
          <w:szCs w:val="24"/>
        </w:rPr>
      </w:pPr>
      <w:r>
        <w:rPr/>
      </w:r>
      <w:bookmarkStart w:id="41" w:name="_Toc51339699_Копия_1"/>
      <w:bookmarkStart w:id="42" w:name="_Toc51339699_Копия_1"/>
      <w:bookmarkEnd w:id="42"/>
    </w:p>
    <w:sectPr>
      <w:headerReference w:type="default" r:id="rId7"/>
      <w:headerReference w:type="first" r:id="rId8"/>
      <w:footnotePr>
        <w:numFmt w:val="decimal"/>
      </w:footnotePr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>
          <w:sz w:val="24"/>
          <w:szCs w:val="24"/>
        </w:rPr>
      </w:pPr>
      <w:r>
        <w:rPr>
          <w:rStyle w:val="Style"/>
        </w:rPr>
        <w:footnoteRef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При подаче заявки заполняется Участником размер скидки на 1 (один) литр топлива в %.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Основной текст_"/>
    <w:link w:val="110"/>
    <w:uiPriority w:val="99"/>
    <w:qFormat/>
    <w:locked/>
    <w:rsid w:val="00d46461"/>
    <w:rPr>
      <w:sz w:val="28"/>
      <w:szCs w:val="28"/>
      <w:shd w:fill="FFFFFF" w:val="clear"/>
    </w:rPr>
  </w:style>
  <w:style w:type="character" w:styleId="Style15" w:customStyle="1">
    <w:name w:val="Основной текст + Малые прописные"/>
    <w:uiPriority w:val="99"/>
    <w:qFormat/>
    <w:rsid w:val="00725842"/>
    <w:rPr>
      <w:rFonts w:ascii="Times New Roman" w:hAnsi="Times New Roman" w:cs="Times New Roman"/>
      <w:smallCaps/>
      <w:color w:val="000000"/>
      <w:spacing w:val="0"/>
      <w:w w:val="100"/>
      <w:sz w:val="28"/>
      <w:szCs w:val="28"/>
      <w:u w:val="none"/>
      <w:lang w:val="ru-RU" w:bidi="ar-SA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andard" w:customStyle="1">
    <w:name w:val="Standard"/>
    <w:qFormat/>
    <w:rsid w:val="00c96c8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ru-RU" w:eastAsia="zh-CN" w:bidi="hi-IN"/>
    </w:rPr>
  </w:style>
  <w:style w:type="paragraph" w:styleId="110" w:customStyle="1">
    <w:name w:val="Основной текст1"/>
    <w:basedOn w:val="Normal"/>
    <w:link w:val="Style14"/>
    <w:uiPriority w:val="99"/>
    <w:qFormat/>
    <w:rsid w:val="00d46461"/>
    <w:pPr>
      <w:widowControl w:val="false"/>
      <w:shd w:val="clear" w:color="auto" w:fill="FFFFFF"/>
      <w:spacing w:lineRule="exact" w:line="302"/>
    </w:pPr>
    <w:rPr/>
  </w:style>
  <w:style w:type="paragraph" w:styleId="Style34">
    <w:name w:val="Содержимое врезки"/>
    <w:basedOn w:val="Normal"/>
    <w:qFormat/>
    <w:pPr/>
    <w:rPr/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4DEE9-2540-4C5E-BAB1-A4F06125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Application>AlterOffice/3.4.0.9$Linux_X86_64 LibreOffice_project/b8daf9e823b1a5463a2f48435ddc2e8696e7d4fc</Application>
  <AppVersion>15.0000</AppVersion>
  <Pages>9</Pages>
  <Words>1272</Words>
  <Characters>8213</Characters>
  <CharactersWithSpaces>9242</CharactersWithSpaces>
  <Paragraphs>262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2023-09-26T08:06:00Z</dcterms:created>
  <dc:creator>Быстров Олег Геннадьевич</dc:creator>
  <dc:description/>
  <dc:language>ru-RU</dc:language>
  <cp:lastModifiedBy>korolevkv@corp.gidroogk.com</cp:lastModifiedBy>
  <cp:lastPrinted>2006-07-26T14:04:00Z</cp:lastPrinted>
  <dcterms:modified xsi:type="dcterms:W3CDTF">2026-06-02T14:18:02Z</dcterms:modified>
  <cp:revision>18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